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400" w:after="200"/>
        <w:jc w:val="center"/>
      </w:pPr>
      <w:r>
        <w:rPr>
          <w:rFonts w:ascii="方正小标宋简体" w:hAnsi="方正小标宋简体" w:eastAsia="方正小标宋简体"/>
          <w:b/>
          <w:color w:val="0F172A"/>
          <w:sz w:val="44"/>
        </w:rPr>
        <w:t>SOP-01 高层建筑火灾空地协同扑救与楼顶索降搜救</w:t>
        <w:br/>
        <w:t>综合演练实施方案与实战导调手册</w:t>
      </w:r>
    </w:p>
    <w:p>
      <w:pPr>
        <w:spacing w:after="480"/>
        <w:jc w:val="center"/>
      </w:pPr>
      <w:r>
        <w:rPr>
          <w:rFonts w:ascii="仿宋_GB2312" w:hAnsi="仿宋_GB2312" w:eastAsia="仿宋_GB2312"/>
          <w:color w:val="64748B"/>
          <w:sz w:val="24"/>
        </w:rPr>
        <w:t>依据国家安全生产行业标准 AQ/T 9007-2019 编制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2592"/>
            <w:shd w:fill="F1F5F9"/>
            <w:tcMar>
              <w:top w:w="80" w:type="dxa"/>
              <w:bottom w:w="80" w:type="dxa"/>
              <w:left w:w="120" w:type="dxa"/>
              <w:right w:w="120" w:type="dxa"/>
            </w:tcMar>
            <w:vAlign w:val="center"/>
          </w:tcPr>
          <w:p>
            <w:r>
              <w:rPr>
                <w:rFonts w:ascii="仿宋_GB2312" w:hAnsi="仿宋_GB2312"/>
                <w:b/>
                <w:sz w:val="21"/>
              </w:rPr>
              <w:t>演练科目与场景</w:t>
            </w:r>
          </w:p>
        </w:tc>
        <w:tc>
          <w:tcPr>
            <w:tcW w:type="dxa" w:w="6480"/>
            <w:shd w:fill="FFFFFF"/>
            <w:tcMar>
              <w:top w:w="80" w:type="dxa"/>
              <w:bottom w:w="80" w:type="dxa"/>
              <w:left w:w="120" w:type="dxa"/>
              <w:right w:w="120" w:type="dxa"/>
            </w:tcMar>
            <w:vAlign w:val="center"/>
          </w:tcPr>
          <w:p>
            <w:r>
              <w:rPr>
                <w:rFonts w:ascii="仿宋_GB2312" w:hAnsi="仿宋_GB2312"/>
                <w:sz w:val="21"/>
              </w:rPr>
              <w:t>超高层综合体建筑火灾立体搜救与外立面控火</w:t>
            </w:r>
          </w:p>
        </w:tc>
      </w:tr>
      <w:tr>
        <w:tc>
          <w:tcPr>
            <w:tcW w:type="dxa" w:w="2592"/>
            <w:shd w:fill="F1F5F9"/>
            <w:tcMar>
              <w:top w:w="80" w:type="dxa"/>
              <w:bottom w:w="80" w:type="dxa"/>
              <w:left w:w="120" w:type="dxa"/>
              <w:right w:w="120" w:type="dxa"/>
            </w:tcMar>
            <w:vAlign w:val="center"/>
          </w:tcPr>
          <w:p>
            <w:r>
              <w:rPr>
                <w:rFonts w:ascii="仿宋_GB2312" w:hAnsi="仿宋_GB2312"/>
                <w:b/>
                <w:sz w:val="21"/>
              </w:rPr>
              <w:t>组织形式与级别</w:t>
            </w:r>
          </w:p>
        </w:tc>
        <w:tc>
          <w:tcPr>
            <w:tcW w:type="dxa" w:w="6480"/>
            <w:shd w:fill="FFFFFF"/>
            <w:tcMar>
              <w:top w:w="80" w:type="dxa"/>
              <w:bottom w:w="80" w:type="dxa"/>
              <w:left w:w="120" w:type="dxa"/>
              <w:right w:w="120" w:type="dxa"/>
            </w:tcMar>
            <w:vAlign w:val="center"/>
          </w:tcPr>
          <w:p>
            <w:r>
              <w:rPr>
                <w:rFonts w:ascii="仿宋_GB2312" w:hAnsi="仿宋_GB2312"/>
                <w:sz w:val="21"/>
              </w:rPr>
              <w:t>实兵实装综合实战演练 (含盲演突发科目) / 省市级跨部门综合应急协同实战演练</w:t>
            </w:r>
          </w:p>
        </w:tc>
      </w:tr>
      <w:tr>
        <w:tc>
          <w:tcPr>
            <w:tcW w:type="dxa" w:w="2592"/>
            <w:shd w:fill="F1F5F9"/>
            <w:tcMar>
              <w:top w:w="80" w:type="dxa"/>
              <w:bottom w:w="80" w:type="dxa"/>
              <w:left w:w="120" w:type="dxa"/>
              <w:right w:w="120" w:type="dxa"/>
            </w:tcMar>
            <w:vAlign w:val="center"/>
          </w:tcPr>
          <w:p>
            <w:r>
              <w:rPr>
                <w:rFonts w:ascii="仿宋_GB2312" w:hAnsi="仿宋_GB2312"/>
                <w:b/>
                <w:sz w:val="21"/>
              </w:rPr>
              <w:t>推演计划时长</w:t>
            </w:r>
          </w:p>
        </w:tc>
        <w:tc>
          <w:tcPr>
            <w:tcW w:type="dxa" w:w="6480"/>
            <w:shd w:fill="FFFFFF"/>
            <w:tcMar>
              <w:top w:w="80" w:type="dxa"/>
              <w:bottom w:w="80" w:type="dxa"/>
              <w:left w:w="120" w:type="dxa"/>
              <w:right w:w="120" w:type="dxa"/>
            </w:tcMar>
            <w:vAlign w:val="center"/>
          </w:tcPr>
          <w:p>
            <w:r>
              <w:rPr>
                <w:rFonts w:ascii="仿宋_GB2312" w:hAnsi="仿宋_GB2312"/>
                <w:sz w:val="21"/>
              </w:rPr>
              <w:t>90分钟 (标准时序流水线)</w:t>
            </w:r>
          </w:p>
        </w:tc>
      </w:tr>
      <w:tr>
        <w:tc>
          <w:tcPr>
            <w:tcW w:type="dxa" w:w="2592"/>
            <w:shd w:fill="F1F5F9"/>
            <w:tcMar>
              <w:top w:w="80" w:type="dxa"/>
              <w:bottom w:w="80" w:type="dxa"/>
              <w:left w:w="120" w:type="dxa"/>
              <w:right w:w="120" w:type="dxa"/>
            </w:tcMar>
            <w:vAlign w:val="center"/>
          </w:tcPr>
          <w:p>
            <w:r>
              <w:rPr>
                <w:rFonts w:ascii="仿宋_GB2312" w:hAnsi="仿宋_GB2312"/>
                <w:b/>
                <w:sz w:val="21"/>
              </w:rPr>
              <w:t>核心参演力量</w:t>
            </w:r>
          </w:p>
        </w:tc>
        <w:tc>
          <w:tcPr>
            <w:tcW w:type="dxa" w:w="6480"/>
            <w:shd w:fill="FFFFFF"/>
            <w:tcMar>
              <w:top w:w="80" w:type="dxa"/>
              <w:bottom w:w="80" w:type="dxa"/>
              <w:left w:w="120" w:type="dxa"/>
              <w:right w:w="120" w:type="dxa"/>
            </w:tcMar>
            <w:vAlign w:val="center"/>
          </w:tcPr>
          <w:p>
            <w:r>
              <w:rPr>
                <w:rFonts w:ascii="仿宋_GB2312" w:hAnsi="仿宋_GB2312"/>
                <w:sz w:val="21"/>
              </w:rPr>
              <w:t>空客H125轻型救援直升机1架(配电动绞车/救生吊篮)、大疆M300双光红外侦察无人机2架、78米登高平台消防车1台、重型大功率压缩空气泡沫车2台、便携式单兵卫星地面站1套</w:t>
            </w:r>
          </w:p>
        </w:tc>
      </w:tr>
    </w:tbl>
    <w:p>
      <w:pPr>
        <w:spacing w:after="320"/>
      </w:pPr>
    </w:p>
    <w:p>
      <w:pPr>
        <w:pStyle w:val="Heading1"/>
      </w:pPr>
      <w:r>
        <w:rPr>
          <w:rFonts w:ascii="黑体" w:hAnsi="黑体" w:eastAsia="黑体"/>
          <w:color w:val="1E293B"/>
          <w:sz w:val="30"/>
        </w:rPr>
        <w:t>第一章 演练总体组织实施方案 (报备审批稿)</w:t>
      </w:r>
    </w:p>
    <w:p>
      <w:pPr>
        <w:pStyle w:val="Heading2"/>
      </w:pPr>
      <w:r>
        <w:t>一、工作目标与指导原则</w:t>
      </w:r>
    </w:p>
    <w:p>
      <w:pPr>
        <w:spacing w:line="312" w:lineRule="auto"/>
      </w:pPr>
      <w:r>
        <w:rPr>
          <w:rFonts w:ascii="仿宋_GB2312" w:hAnsi="仿宋_GB2312"/>
          <w:sz w:val="22"/>
        </w:rPr>
        <w:t>为检验空地一体化应急协同作战效能，针对【超高层综合体建筑火灾立体搜救与外立面控火】极端事故险情，立足实战、实兵、实装，重点磨合跨部门空地联合通信、高空索降救援、装备性能边界管控及无预警盲演临机决断机制，全面提高队伍在复杂险情下的突击攻坚与闭环处置能力。</w:t>
      </w:r>
    </w:p>
    <w:p>
      <w:pPr>
        <w:pStyle w:val="Heading2"/>
      </w:pPr>
      <w:r>
        <w:t>二、突发盲演意外设置（随机变量）</w:t>
      </w:r>
    </w:p>
    <w:p>
      <w:r>
        <w:rPr>
          <w:rFonts w:ascii="仿宋_GB2312" w:hAnsi="仿宋_GB2312"/>
          <w:b/>
          <w:color w:val="B91C1C"/>
          <w:sz w:val="22"/>
        </w:rPr>
        <w:t>【动态盲演红牌】：18层发生可燃气体微爆产生高空气流涡旋，楼顶阵风达16m/s（超H125悬停极限）！同时现场公网图传链路中断！</w:t>
      </w:r>
    </w:p>
    <w:p>
      <w:pPr>
        <w:pStyle w:val="Heading1"/>
      </w:pPr>
      <w:r>
        <w:rPr>
          <w:rFonts w:ascii="黑体" w:hAnsi="黑体" w:eastAsia="黑体"/>
          <w:color w:val="1E293B"/>
          <w:sz w:val="30"/>
        </w:rPr>
        <w:t>第二章 分角色实操导调时序执行脚本 (实战手册)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560"/>
        <w:gridCol w:w="1560"/>
        <w:gridCol w:w="1560"/>
        <w:gridCol w:w="1560"/>
        <w:gridCol w:w="1560"/>
        <w:gridCol w:w="1560"/>
      </w:tblGrid>
      <w:tr>
        <w:tc>
          <w:tcPr>
            <w:tcW w:type="dxa" w:w="1152"/>
            <w:shd w:fill="0F172A"/>
            <w:tcMar>
              <w:top w:w="100" w:type="dxa"/>
              <w:bottom w:w="100" w:type="dxa"/>
              <w:left w:w="80" w:type="dxa"/>
              <w:right w:w="80" w:type="dxa"/>
            </w:tcMar>
          </w:tcPr>
          <w:p>
            <w:pPr>
              <w:jc w:val="center"/>
            </w:pPr>
            <w:r>
              <w:rPr>
                <w:rFonts w:ascii="黑体" w:hAnsi="黑体"/>
                <w:color w:val="F1F5F9"/>
                <w:sz w:val="19"/>
              </w:rPr>
              <w:t>时段</w:t>
            </w:r>
          </w:p>
        </w:tc>
        <w:tc>
          <w:tcPr>
            <w:tcW w:type="dxa" w:w="1296"/>
            <w:shd w:fill="0F172A"/>
            <w:tcMar>
              <w:top w:w="100" w:type="dxa"/>
              <w:bottom w:w="100" w:type="dxa"/>
              <w:left w:w="80" w:type="dxa"/>
              <w:right w:w="80" w:type="dxa"/>
            </w:tcMar>
          </w:tcPr>
          <w:p>
            <w:pPr>
              <w:jc w:val="center"/>
            </w:pPr>
            <w:r>
              <w:rPr>
                <w:rFonts w:ascii="黑体" w:hAnsi="黑体"/>
                <w:color w:val="F1F5F9"/>
                <w:sz w:val="19"/>
              </w:rPr>
              <w:t>阶段</w:t>
            </w:r>
          </w:p>
        </w:tc>
        <w:tc>
          <w:tcPr>
            <w:tcW w:type="dxa" w:w="1440"/>
            <w:shd w:fill="0F172A"/>
            <w:tcMar>
              <w:top w:w="100" w:type="dxa"/>
              <w:bottom w:w="100" w:type="dxa"/>
              <w:left w:w="80" w:type="dxa"/>
              <w:right w:w="80" w:type="dxa"/>
            </w:tcMar>
          </w:tcPr>
          <w:p>
            <w:pPr>
              <w:jc w:val="center"/>
            </w:pPr>
            <w:r>
              <w:rPr>
                <w:rFonts w:ascii="黑体" w:hAnsi="黑体"/>
                <w:color w:val="F1F5F9"/>
                <w:sz w:val="19"/>
              </w:rPr>
              <w:t>行动主体</w:t>
            </w:r>
          </w:p>
        </w:tc>
        <w:tc>
          <w:tcPr>
            <w:tcW w:type="dxa" w:w="2592"/>
            <w:shd w:fill="0F172A"/>
            <w:tcMar>
              <w:top w:w="100" w:type="dxa"/>
              <w:bottom w:w="100" w:type="dxa"/>
              <w:left w:w="80" w:type="dxa"/>
              <w:right w:w="80" w:type="dxa"/>
            </w:tcMar>
          </w:tcPr>
          <w:p>
            <w:pPr>
              <w:jc w:val="center"/>
            </w:pPr>
            <w:r>
              <w:rPr>
                <w:rFonts w:ascii="黑体" w:hAnsi="黑体"/>
                <w:color w:val="F1F5F9"/>
                <w:sz w:val="19"/>
              </w:rPr>
              <w:t>现场操作与动作</w:t>
            </w:r>
          </w:p>
        </w:tc>
        <w:tc>
          <w:tcPr>
            <w:tcW w:type="dxa" w:w="2592"/>
            <w:shd w:fill="0F172A"/>
            <w:tcMar>
              <w:top w:w="100" w:type="dxa"/>
              <w:bottom w:w="100" w:type="dxa"/>
              <w:left w:w="80" w:type="dxa"/>
              <w:right w:w="80" w:type="dxa"/>
            </w:tcMar>
          </w:tcPr>
          <w:p>
            <w:pPr>
              <w:jc w:val="center"/>
            </w:pPr>
            <w:r>
              <w:rPr>
                <w:rFonts w:ascii="黑体" w:hAnsi="黑体"/>
                <w:color w:val="F1F5F9"/>
                <w:sz w:val="19"/>
              </w:rPr>
              <w:t>无线电对讲实录话术</w:t>
            </w:r>
          </w:p>
        </w:tc>
        <w:tc>
          <w:tcPr>
            <w:tcW w:type="dxa" w:w="1728"/>
            <w:shd w:fill="0F172A"/>
            <w:tcMar>
              <w:top w:w="100" w:type="dxa"/>
              <w:bottom w:w="100" w:type="dxa"/>
              <w:left w:w="80" w:type="dxa"/>
              <w:right w:w="80" w:type="dxa"/>
            </w:tcMar>
          </w:tcPr>
          <w:p>
            <w:pPr>
              <w:jc w:val="center"/>
            </w:pPr>
            <w:r>
              <w:rPr>
                <w:rFonts w:ascii="黑体" w:hAnsi="黑体"/>
                <w:color w:val="F1F5F9"/>
                <w:sz w:val="19"/>
              </w:rPr>
              <w:t>装备与安全红线</w:t>
            </w:r>
          </w:p>
        </w:tc>
      </w:tr>
      <w:tr>
        <w:tc>
          <w:tcPr>
            <w:tcW w:type="dxa" w:w="1152"/>
            <w:shd w:fill="FFFFFF"/>
            <w:tcMar>
              <w:top w:w="80" w:type="dxa"/>
              <w:bottom w:w="80" w:type="dxa"/>
              <w:left w:w="80" w:type="dxa"/>
              <w:right w:w="80" w:type="dxa"/>
            </w:tcMar>
            <w:vAlign w:val="center"/>
          </w:tcPr>
          <w:p>
            <w:r>
              <w:rPr>
                <w:rFonts w:ascii="仿宋_GB2312" w:hAnsi="仿宋_GB2312"/>
                <w:sz w:val="18"/>
              </w:rPr>
              <w:t>T+00~10</w:t>
            </w:r>
          </w:p>
        </w:tc>
        <w:tc>
          <w:tcPr>
            <w:tcW w:type="dxa" w:w="1296"/>
            <w:shd w:fill="FFFFFF"/>
            <w:tcMar>
              <w:top w:w="80" w:type="dxa"/>
              <w:bottom w:w="80" w:type="dxa"/>
              <w:left w:w="80" w:type="dxa"/>
              <w:right w:w="80" w:type="dxa"/>
            </w:tcMar>
            <w:vAlign w:val="center"/>
          </w:tcPr>
          <w:p>
            <w:r>
              <w:rPr>
                <w:rFonts w:ascii="仿宋_GB2312" w:hAnsi="仿宋_GB2312"/>
                <w:sz w:val="18"/>
              </w:rPr>
              <w:t>响应启动</w:t>
            </w:r>
          </w:p>
        </w:tc>
        <w:tc>
          <w:tcPr>
            <w:tcW w:type="dxa" w:w="1440"/>
            <w:shd w:fill="FFFFFF"/>
            <w:tcMar>
              <w:top w:w="80" w:type="dxa"/>
              <w:bottom w:w="80" w:type="dxa"/>
              <w:left w:w="80" w:type="dxa"/>
              <w:right w:w="80" w:type="dxa"/>
            </w:tcMar>
            <w:vAlign w:val="center"/>
          </w:tcPr>
          <w:p>
            <w:r>
              <w:rPr>
                <w:rFonts w:ascii="仿宋_GB2312" w:hAnsi="仿宋_GB2312"/>
                <w:sz w:val="18"/>
              </w:rPr>
              <w:t>总指挥部 / 消防执勤站</w:t>
            </w:r>
          </w:p>
        </w:tc>
        <w:tc>
          <w:tcPr>
            <w:tcW w:type="dxa" w:w="2592"/>
            <w:shd w:fill="FFFFFF"/>
            <w:tcMar>
              <w:top w:w="80" w:type="dxa"/>
              <w:bottom w:w="80" w:type="dxa"/>
              <w:left w:w="80" w:type="dxa"/>
              <w:right w:w="80" w:type="dxa"/>
            </w:tcMar>
            <w:vAlign w:val="center"/>
          </w:tcPr>
          <w:p>
            <w:r>
              <w:rPr>
                <w:rFonts w:ascii="仿宋_GB2312" w:hAnsi="仿宋_GB2312"/>
                <w:sz w:val="18"/>
              </w:rPr>
              <w:t>消防控制室火警多点报警，确认16层火势突破外立面，启动一级响应，调派重型灭火与通航机组。</w:t>
            </w:r>
          </w:p>
        </w:tc>
        <w:tc>
          <w:tcPr>
            <w:tcW w:type="dxa" w:w="2592"/>
            <w:shd w:fill="FFFFFF"/>
            <w:tcMar>
              <w:top w:w="80" w:type="dxa"/>
              <w:bottom w:w="80" w:type="dxa"/>
              <w:left w:w="80" w:type="dxa"/>
              <w:right w:w="80" w:type="dxa"/>
            </w:tcMar>
            <w:vAlign w:val="center"/>
          </w:tcPr>
          <w:p>
            <w:r>
              <w:rPr>
                <w:rFonts w:ascii="仿宋_GB2312" w:hAnsi="仿宋_GB2312"/>
                <w:sz w:val="18"/>
              </w:rPr>
              <w:t>“指挥中心，特勤一站、通航机组立即响应，出动代码1101，出动重型车2台，登高车1台，直升机1架！”</w:t>
            </w:r>
          </w:p>
        </w:tc>
        <w:tc>
          <w:tcPr>
            <w:tcW w:type="dxa" w:w="1728"/>
            <w:shd w:fill="FFFFFF"/>
            <w:tcMar>
              <w:top w:w="80" w:type="dxa"/>
              <w:bottom w:w="80" w:type="dxa"/>
              <w:left w:w="80" w:type="dxa"/>
              <w:right w:w="80" w:type="dxa"/>
            </w:tcMar>
            <w:vAlign w:val="center"/>
          </w:tcPr>
          <w:p>
            <w:r>
              <w:rPr>
                <w:rFonts w:ascii="仿宋_GB2312" w:hAnsi="仿宋_GB2312"/>
                <w:sz w:val="18"/>
              </w:rPr>
              <w:t>车队保持50米车距；直升机机组核对高空航路放行许可。</w:t>
            </w:r>
          </w:p>
        </w:tc>
      </w:tr>
      <w:tr>
        <w:tc>
          <w:tcPr>
            <w:tcW w:type="dxa" w:w="1152"/>
            <w:shd w:fill="FFFFFF"/>
            <w:tcMar>
              <w:top w:w="80" w:type="dxa"/>
              <w:bottom w:w="80" w:type="dxa"/>
              <w:left w:w="80" w:type="dxa"/>
              <w:right w:w="80" w:type="dxa"/>
            </w:tcMar>
            <w:vAlign w:val="center"/>
          </w:tcPr>
          <w:p>
            <w:r>
              <w:rPr>
                <w:rFonts w:ascii="仿宋_GB2312" w:hAnsi="仿宋_GB2312"/>
                <w:sz w:val="18"/>
              </w:rPr>
              <w:t>T+10~25</w:t>
            </w:r>
          </w:p>
        </w:tc>
        <w:tc>
          <w:tcPr>
            <w:tcW w:type="dxa" w:w="1296"/>
            <w:shd w:fill="FFFFFF"/>
            <w:tcMar>
              <w:top w:w="80" w:type="dxa"/>
              <w:bottom w:w="80" w:type="dxa"/>
              <w:left w:w="80" w:type="dxa"/>
              <w:right w:w="80" w:type="dxa"/>
            </w:tcMar>
            <w:vAlign w:val="center"/>
          </w:tcPr>
          <w:p>
            <w:r>
              <w:rPr>
                <w:rFonts w:ascii="仿宋_GB2312" w:hAnsi="仿宋_GB2312"/>
                <w:sz w:val="18"/>
              </w:rPr>
              <w:t>空地侦察</w:t>
            </w:r>
          </w:p>
        </w:tc>
        <w:tc>
          <w:tcPr>
            <w:tcW w:type="dxa" w:w="1440"/>
            <w:shd w:fill="FFFFFF"/>
            <w:tcMar>
              <w:top w:w="80" w:type="dxa"/>
              <w:bottom w:w="80" w:type="dxa"/>
              <w:left w:w="80" w:type="dxa"/>
              <w:right w:w="80" w:type="dxa"/>
            </w:tcMar>
            <w:vAlign w:val="center"/>
          </w:tcPr>
          <w:p>
            <w:r>
              <w:rPr>
                <w:rFonts w:ascii="仿宋_GB2312" w:hAnsi="仿宋_GB2312"/>
                <w:sz w:val="18"/>
              </w:rPr>
              <w:t>无人机飞控席 / 指挥员</w:t>
            </w:r>
          </w:p>
        </w:tc>
        <w:tc>
          <w:tcPr>
            <w:tcW w:type="dxa" w:w="2592"/>
            <w:shd w:fill="FFFFFF"/>
            <w:tcMar>
              <w:top w:w="80" w:type="dxa"/>
              <w:bottom w:w="80" w:type="dxa"/>
              <w:left w:w="80" w:type="dxa"/>
              <w:right w:w="80" w:type="dxa"/>
            </w:tcMar>
            <w:vAlign w:val="center"/>
          </w:tcPr>
          <w:p>
            <w:r>
              <w:rPr>
                <w:rFonts w:ascii="仿宋_GB2312" w:hAnsi="仿宋_GB2312"/>
                <w:sz w:val="18"/>
              </w:rPr>
              <w:t>双光无人机360度红外测温，楼顶表面温度43℃，锁定12名受困人员坐标（含2名骨折伤员）。</w:t>
            </w:r>
          </w:p>
        </w:tc>
        <w:tc>
          <w:tcPr>
            <w:tcW w:type="dxa" w:w="2592"/>
            <w:shd w:fill="FFFFFF"/>
            <w:tcMar>
              <w:top w:w="80" w:type="dxa"/>
              <w:bottom w:w="80" w:type="dxa"/>
              <w:left w:w="80" w:type="dxa"/>
              <w:right w:w="80" w:type="dxa"/>
            </w:tcMar>
            <w:vAlign w:val="center"/>
          </w:tcPr>
          <w:p>
            <w:r>
              <w:rPr>
                <w:rFonts w:ascii="仿宋_GB2312" w:hAnsi="仿宋_GB2312"/>
                <w:sz w:val="18"/>
              </w:rPr>
              <w:t>“指挥部，无人机01报告：火势主蔓延面在东侧16-19层，顶层天台集结12人，具备索降条件！”</w:t>
            </w:r>
          </w:p>
        </w:tc>
        <w:tc>
          <w:tcPr>
            <w:tcW w:type="dxa" w:w="1728"/>
            <w:shd w:fill="FFFFFF"/>
            <w:tcMar>
              <w:top w:w="80" w:type="dxa"/>
              <w:bottom w:w="80" w:type="dxa"/>
              <w:left w:w="80" w:type="dxa"/>
              <w:right w:w="80" w:type="dxa"/>
            </w:tcMar>
            <w:vAlign w:val="center"/>
          </w:tcPr>
          <w:p>
            <w:r>
              <w:rPr>
                <w:rFonts w:ascii="仿宋_GB2312" w:hAnsi="仿宋_GB2312"/>
                <w:sz w:val="18"/>
              </w:rPr>
              <w:t>无人机严禁穿入背风面下沉气流区；距建筑物不少于15米。</w:t>
            </w:r>
          </w:p>
        </w:tc>
      </w:tr>
      <w:tr>
        <w:tc>
          <w:tcPr>
            <w:tcW w:type="dxa" w:w="1152"/>
            <w:shd w:fill="FFFFFF"/>
            <w:tcMar>
              <w:top w:w="80" w:type="dxa"/>
              <w:bottom w:w="80" w:type="dxa"/>
              <w:left w:w="80" w:type="dxa"/>
              <w:right w:w="80" w:type="dxa"/>
            </w:tcMar>
            <w:vAlign w:val="center"/>
          </w:tcPr>
          <w:p>
            <w:r>
              <w:rPr>
                <w:rFonts w:ascii="仿宋_GB2312" w:hAnsi="仿宋_GB2312"/>
                <w:sz w:val="18"/>
              </w:rPr>
              <w:t>T+25~45</w:t>
            </w:r>
          </w:p>
        </w:tc>
        <w:tc>
          <w:tcPr>
            <w:tcW w:type="dxa" w:w="1296"/>
            <w:shd w:fill="FFFFFF"/>
            <w:tcMar>
              <w:top w:w="80" w:type="dxa"/>
              <w:bottom w:w="80" w:type="dxa"/>
              <w:left w:w="80" w:type="dxa"/>
              <w:right w:w="80" w:type="dxa"/>
            </w:tcMar>
            <w:vAlign w:val="center"/>
          </w:tcPr>
          <w:p>
            <w:r>
              <w:rPr>
                <w:rFonts w:ascii="仿宋_GB2312" w:hAnsi="仿宋_GB2312"/>
                <w:sz w:val="18"/>
              </w:rPr>
              <w:t>空地营救</w:t>
            </w:r>
          </w:p>
        </w:tc>
        <w:tc>
          <w:tcPr>
            <w:tcW w:type="dxa" w:w="1440"/>
            <w:shd w:fill="FFFFFF"/>
            <w:tcMar>
              <w:top w:w="80" w:type="dxa"/>
              <w:bottom w:w="80" w:type="dxa"/>
              <w:left w:w="80" w:type="dxa"/>
              <w:right w:w="80" w:type="dxa"/>
            </w:tcMar>
            <w:vAlign w:val="center"/>
          </w:tcPr>
          <w:p>
            <w:r>
              <w:rPr>
                <w:rFonts w:ascii="仿宋_GB2312" w:hAnsi="仿宋_GB2312"/>
                <w:sz w:val="18"/>
              </w:rPr>
              <w:t>H125机组 / 登高车组</w:t>
            </w:r>
          </w:p>
        </w:tc>
        <w:tc>
          <w:tcPr>
            <w:tcW w:type="dxa" w:w="2592"/>
            <w:shd w:fill="FFFFFF"/>
            <w:tcMar>
              <w:top w:w="80" w:type="dxa"/>
              <w:bottom w:w="80" w:type="dxa"/>
              <w:left w:w="80" w:type="dxa"/>
              <w:right w:w="80" w:type="dxa"/>
            </w:tcMar>
            <w:vAlign w:val="center"/>
          </w:tcPr>
          <w:p>
            <w:r>
              <w:rPr>
                <w:rFonts w:ascii="仿宋_GB2312" w:hAnsi="仿宋_GB2312"/>
                <w:sz w:val="18"/>
              </w:rPr>
              <w:t>登高车从外立面射水控火阻隔烟气；直升机建立楼顶25米稳定悬停，下放搜救员与救生吊篮。</w:t>
            </w:r>
          </w:p>
        </w:tc>
        <w:tc>
          <w:tcPr>
            <w:tcW w:type="dxa" w:w="2592"/>
            <w:shd w:fill="FFFFFF"/>
            <w:tcMar>
              <w:top w:w="80" w:type="dxa"/>
              <w:bottom w:w="80" w:type="dxa"/>
              <w:left w:w="80" w:type="dxa"/>
              <w:right w:w="80" w:type="dxa"/>
            </w:tcMar>
            <w:vAlign w:val="center"/>
          </w:tcPr>
          <w:p>
            <w:r>
              <w:rPr>
                <w:rFonts w:ascii="仿宋_GB2312" w:hAnsi="仿宋_GB2312"/>
                <w:sz w:val="18"/>
              </w:rPr>
              <w:t>“机长，绞车手准备完毕，风向西北，悬停高度25米，绞车下放救生员01入场，优先起吊重伤员！”</w:t>
            </w:r>
          </w:p>
        </w:tc>
        <w:tc>
          <w:tcPr>
            <w:tcW w:type="dxa" w:w="1728"/>
            <w:shd w:fill="FFFFFF"/>
            <w:tcMar>
              <w:top w:w="80" w:type="dxa"/>
              <w:bottom w:w="80" w:type="dxa"/>
              <w:left w:w="80" w:type="dxa"/>
              <w:right w:w="80" w:type="dxa"/>
            </w:tcMar>
            <w:vAlign w:val="center"/>
          </w:tcPr>
          <w:p>
            <w:r>
              <w:rPr>
                <w:rFonts w:ascii="仿宋_GB2312" w:hAnsi="仿宋_GB2312"/>
                <w:sz w:val="18"/>
              </w:rPr>
              <w:t>旋翼下洗气流极强，地面警戒半径严禁小于50米；严格系牢安全钩。</w:t>
            </w:r>
          </w:p>
        </w:tc>
      </w:tr>
      <w:tr>
        <w:tc>
          <w:tcPr>
            <w:tcW w:type="dxa" w:w="1152"/>
            <w:shd w:fill="FEF2F2"/>
            <w:tcMar>
              <w:top w:w="80" w:type="dxa"/>
              <w:bottom w:w="80" w:type="dxa"/>
              <w:left w:w="80" w:type="dxa"/>
              <w:right w:w="80" w:type="dxa"/>
            </w:tcMar>
            <w:vAlign w:val="center"/>
          </w:tcPr>
          <w:p>
            <w:r>
              <w:rPr>
                <w:rFonts w:ascii="仿宋_GB2312" w:hAnsi="仿宋_GB2312"/>
                <w:color w:val="991B1B"/>
                <w:sz w:val="18"/>
              </w:rPr>
              <w:t>T+45~55</w:t>
            </w:r>
          </w:p>
        </w:tc>
        <w:tc>
          <w:tcPr>
            <w:tcW w:type="dxa" w:w="1296"/>
            <w:shd w:fill="FEF2F2"/>
            <w:tcMar>
              <w:top w:w="80" w:type="dxa"/>
              <w:bottom w:w="80" w:type="dxa"/>
              <w:left w:w="80" w:type="dxa"/>
              <w:right w:w="80" w:type="dxa"/>
            </w:tcMar>
            <w:vAlign w:val="center"/>
          </w:tcPr>
          <w:p>
            <w:r>
              <w:rPr>
                <w:rFonts w:ascii="仿宋_GB2312" w:hAnsi="仿宋_GB2312"/>
                <w:color w:val="991B1B"/>
                <w:sz w:val="18"/>
              </w:rPr>
              <w:t>盲演意外</w:t>
            </w:r>
          </w:p>
        </w:tc>
        <w:tc>
          <w:tcPr>
            <w:tcW w:type="dxa" w:w="1440"/>
            <w:shd w:fill="FEF2F2"/>
            <w:tcMar>
              <w:top w:w="80" w:type="dxa"/>
              <w:bottom w:w="80" w:type="dxa"/>
              <w:left w:w="80" w:type="dxa"/>
              <w:right w:w="80" w:type="dxa"/>
            </w:tcMar>
            <w:vAlign w:val="center"/>
          </w:tcPr>
          <w:p>
            <w:r>
              <w:rPr>
                <w:rFonts w:ascii="仿宋_GB2312" w:hAnsi="仿宋_GB2312"/>
                <w:color w:val="991B1B"/>
                <w:sz w:val="18"/>
              </w:rPr>
              <w:t>现场总指挥 / 直升机机组</w:t>
            </w:r>
          </w:p>
        </w:tc>
        <w:tc>
          <w:tcPr>
            <w:tcW w:type="dxa" w:w="2592"/>
            <w:shd w:fill="FEF2F2"/>
            <w:tcMar>
              <w:top w:w="80" w:type="dxa"/>
              <w:bottom w:w="80" w:type="dxa"/>
              <w:left w:w="80" w:type="dxa"/>
              <w:right w:w="80" w:type="dxa"/>
            </w:tcMar>
            <w:vAlign w:val="center"/>
          </w:tcPr>
          <w:p>
            <w:r>
              <w:rPr>
                <w:rFonts w:ascii="仿宋_GB2312" w:hAnsi="仿宋_GB2312"/>
                <w:color w:val="991B1B"/>
                <w:sz w:val="18"/>
              </w:rPr>
              <w:t>突发气流涡旋超限与公网图传中断！机长果断中断索降脱离复飞；通信组升起车载自组网微波中继，登高车加压喷射水幕降温削弱热涡旋。</w:t>
            </w:r>
          </w:p>
        </w:tc>
        <w:tc>
          <w:tcPr>
            <w:tcW w:type="dxa" w:w="2592"/>
            <w:shd w:fill="FEF2F2"/>
            <w:tcMar>
              <w:top w:w="80" w:type="dxa"/>
              <w:bottom w:w="80" w:type="dxa"/>
              <w:left w:w="80" w:type="dxa"/>
              <w:right w:w="80" w:type="dxa"/>
            </w:tcMar>
            <w:vAlign w:val="center"/>
          </w:tcPr>
          <w:p>
            <w:r>
              <w:rPr>
                <w:rFonts w:ascii="仿宋_GB2312" w:hAnsi="仿宋_GB2312"/>
                <w:color w:val="991B1B"/>
                <w:sz w:val="18"/>
              </w:rPr>
              <w:t>“紧急情况！热气流颠簸触发超限警报，直升机中止索降复飞等待！”&lt;br&gt;“指挥部收到，同意复飞，通信组切换自组网备用信道，登高车加压水幕降温！”</w:t>
            </w:r>
          </w:p>
        </w:tc>
        <w:tc>
          <w:tcPr>
            <w:tcW w:type="dxa" w:w="1728"/>
            <w:shd w:fill="FEF2F2"/>
            <w:tcMar>
              <w:top w:w="80" w:type="dxa"/>
              <w:bottom w:w="80" w:type="dxa"/>
              <w:left w:w="80" w:type="dxa"/>
              <w:right w:w="80" w:type="dxa"/>
            </w:tcMar>
            <w:vAlign w:val="center"/>
          </w:tcPr>
          <w:p>
            <w:r>
              <w:rPr>
                <w:rFonts w:ascii="仿宋_GB2312" w:hAnsi="仿宋_GB2312"/>
                <w:color w:val="991B1B"/>
                <w:sz w:val="18"/>
              </w:rPr>
              <w:t>超限违规悬停极易诱发旋翼失速坠机，必须坚决脱离；自组网恢复前暂停吊运。</w:t>
            </w:r>
          </w:p>
        </w:tc>
      </w:tr>
      <w:tr>
        <w:tc>
          <w:tcPr>
            <w:tcW w:type="dxa" w:w="1152"/>
            <w:shd w:fill="FFFFFF"/>
            <w:tcMar>
              <w:top w:w="80" w:type="dxa"/>
              <w:bottom w:w="80" w:type="dxa"/>
              <w:left w:w="80" w:type="dxa"/>
              <w:right w:w="80" w:type="dxa"/>
            </w:tcMar>
            <w:vAlign w:val="center"/>
          </w:tcPr>
          <w:p>
            <w:r>
              <w:rPr>
                <w:rFonts w:ascii="仿宋_GB2312" w:hAnsi="仿宋_GB2312"/>
                <w:sz w:val="18"/>
              </w:rPr>
              <w:t>T+55~75</w:t>
            </w:r>
          </w:p>
        </w:tc>
        <w:tc>
          <w:tcPr>
            <w:tcW w:type="dxa" w:w="1296"/>
            <w:shd w:fill="FFFFFF"/>
            <w:tcMar>
              <w:top w:w="80" w:type="dxa"/>
              <w:bottom w:w="80" w:type="dxa"/>
              <w:left w:w="80" w:type="dxa"/>
              <w:right w:w="80" w:type="dxa"/>
            </w:tcMar>
            <w:vAlign w:val="center"/>
          </w:tcPr>
          <w:p>
            <w:r>
              <w:rPr>
                <w:rFonts w:ascii="仿宋_GB2312" w:hAnsi="仿宋_GB2312"/>
                <w:sz w:val="18"/>
              </w:rPr>
              <w:t>攻坚合围</w:t>
            </w:r>
          </w:p>
        </w:tc>
        <w:tc>
          <w:tcPr>
            <w:tcW w:type="dxa" w:w="1440"/>
            <w:shd w:fill="FFFFFF"/>
            <w:tcMar>
              <w:top w:w="80" w:type="dxa"/>
              <w:bottom w:w="80" w:type="dxa"/>
              <w:left w:w="80" w:type="dxa"/>
              <w:right w:w="80" w:type="dxa"/>
            </w:tcMar>
            <w:vAlign w:val="center"/>
          </w:tcPr>
          <w:p>
            <w:r>
              <w:rPr>
                <w:rFonts w:ascii="仿宋_GB2312" w:hAnsi="仿宋_GB2312"/>
                <w:sz w:val="18"/>
              </w:rPr>
              <w:t>机组 / 特勤灭火组</w:t>
            </w:r>
          </w:p>
        </w:tc>
        <w:tc>
          <w:tcPr>
            <w:tcW w:type="dxa" w:w="2592"/>
            <w:shd w:fill="FFFFFF"/>
            <w:tcMar>
              <w:top w:w="80" w:type="dxa"/>
              <w:bottom w:w="80" w:type="dxa"/>
              <w:left w:w="80" w:type="dxa"/>
              <w:right w:w="80" w:type="dxa"/>
            </w:tcMar>
            <w:vAlign w:val="center"/>
          </w:tcPr>
          <w:p>
            <w:r>
              <w:rPr>
                <w:rFonts w:ascii="仿宋_GB2312" w:hAnsi="仿宋_GB2312"/>
                <w:sz w:val="18"/>
              </w:rPr>
              <w:t>热涡旋受水幕压制减弱，信道恢复；直升机重新切入，用吊篮将剩余受困人员安全撤离；地面打通内攻通道封控火势。</w:t>
            </w:r>
          </w:p>
        </w:tc>
        <w:tc>
          <w:tcPr>
            <w:tcW w:type="dxa" w:w="2592"/>
            <w:shd w:fill="FFFFFF"/>
            <w:tcMar>
              <w:top w:w="80" w:type="dxa"/>
              <w:bottom w:w="80" w:type="dxa"/>
              <w:left w:w="80" w:type="dxa"/>
              <w:right w:w="80" w:type="dxa"/>
            </w:tcMar>
            <w:vAlign w:val="center"/>
          </w:tcPr>
          <w:p>
            <w:r>
              <w:rPr>
                <w:rFonts w:ascii="仿宋_GB2312" w:hAnsi="仿宋_GB2312"/>
                <w:sz w:val="18"/>
              </w:rPr>
              <w:t>“报告指挥部，天台12名被困人员全部转移至急救点，火势已被完全压制在20层以下，完毕！”</w:t>
            </w:r>
          </w:p>
        </w:tc>
        <w:tc>
          <w:tcPr>
            <w:tcW w:type="dxa" w:w="1728"/>
            <w:shd w:fill="FFFFFF"/>
            <w:tcMar>
              <w:top w:w="80" w:type="dxa"/>
              <w:bottom w:w="80" w:type="dxa"/>
              <w:left w:w="80" w:type="dxa"/>
              <w:right w:w="80" w:type="dxa"/>
            </w:tcMar>
            <w:vAlign w:val="center"/>
          </w:tcPr>
          <w:p>
            <w:r>
              <w:rPr>
                <w:rFonts w:ascii="仿宋_GB2312" w:hAnsi="仿宋_GB2312"/>
                <w:sz w:val="18"/>
              </w:rPr>
              <w:t>吊篮挂钩双冗余保险；伤员落地10秒内完成平车交接。</w:t>
            </w:r>
          </w:p>
        </w:tc>
      </w:tr>
      <w:tr>
        <w:tc>
          <w:tcPr>
            <w:tcW w:type="dxa" w:w="1152"/>
            <w:shd w:fill="FFFFFF"/>
            <w:tcMar>
              <w:top w:w="80" w:type="dxa"/>
              <w:bottom w:w="80" w:type="dxa"/>
              <w:left w:w="80" w:type="dxa"/>
              <w:right w:w="80" w:type="dxa"/>
            </w:tcMar>
            <w:vAlign w:val="center"/>
          </w:tcPr>
          <w:p>
            <w:r>
              <w:rPr>
                <w:rFonts w:ascii="仿宋_GB2312" w:hAnsi="仿宋_GB2312"/>
                <w:sz w:val="18"/>
              </w:rPr>
              <w:t>T+75~90</w:t>
            </w:r>
          </w:p>
        </w:tc>
        <w:tc>
          <w:tcPr>
            <w:tcW w:type="dxa" w:w="1296"/>
            <w:shd w:fill="FFFFFF"/>
            <w:tcMar>
              <w:top w:w="80" w:type="dxa"/>
              <w:bottom w:w="80" w:type="dxa"/>
              <w:left w:w="80" w:type="dxa"/>
              <w:right w:w="80" w:type="dxa"/>
            </w:tcMar>
            <w:vAlign w:val="center"/>
          </w:tcPr>
          <w:p>
            <w:r>
              <w:rPr>
                <w:rFonts w:ascii="仿宋_GB2312" w:hAnsi="仿宋_GB2312"/>
                <w:sz w:val="18"/>
              </w:rPr>
              <w:t>清理点验</w:t>
            </w:r>
          </w:p>
        </w:tc>
        <w:tc>
          <w:tcPr>
            <w:tcW w:type="dxa" w:w="1440"/>
            <w:shd w:fill="FFFFFF"/>
            <w:tcMar>
              <w:top w:w="80" w:type="dxa"/>
              <w:bottom w:w="80" w:type="dxa"/>
              <w:left w:w="80" w:type="dxa"/>
              <w:right w:w="80" w:type="dxa"/>
            </w:tcMar>
            <w:vAlign w:val="center"/>
          </w:tcPr>
          <w:p>
            <w:r>
              <w:rPr>
                <w:rFonts w:ascii="仿宋_GB2312" w:hAnsi="仿宋_GB2312"/>
                <w:sz w:val="18"/>
              </w:rPr>
              <w:t>总指挥部 / 考评组</w:t>
            </w:r>
          </w:p>
        </w:tc>
        <w:tc>
          <w:tcPr>
            <w:tcW w:type="dxa" w:w="2592"/>
            <w:shd w:fill="FFFFFF"/>
            <w:tcMar>
              <w:top w:w="80" w:type="dxa"/>
              <w:bottom w:w="80" w:type="dxa"/>
              <w:left w:w="80" w:type="dxa"/>
              <w:right w:w="80" w:type="dxa"/>
            </w:tcMar>
            <w:vAlign w:val="center"/>
          </w:tcPr>
          <w:p>
            <w:r>
              <w:rPr>
                <w:rFonts w:ascii="仿宋_GB2312" w:hAnsi="仿宋_GB2312"/>
                <w:sz w:val="18"/>
              </w:rPr>
              <w:t>现场明火扑灭并机械正压排烟，总指挥下达终止演练令，各分队归队清点装备，转入复盘总结打分阶段。</w:t>
            </w:r>
          </w:p>
        </w:tc>
        <w:tc>
          <w:tcPr>
            <w:tcW w:type="dxa" w:w="2592"/>
            <w:shd w:fill="FFFFFF"/>
            <w:tcMar>
              <w:top w:w="80" w:type="dxa"/>
              <w:bottom w:w="80" w:type="dxa"/>
              <w:left w:w="80" w:type="dxa"/>
              <w:right w:w="80" w:type="dxa"/>
            </w:tcMar>
            <w:vAlign w:val="center"/>
          </w:tcPr>
          <w:p>
            <w:r>
              <w:rPr>
                <w:rFonts w:ascii="仿宋_GB2312" w:hAnsi="仿宋_GB2312"/>
                <w:sz w:val="18"/>
              </w:rPr>
              <w:t>“各参演队伍注意，明火熄灭，人员点验无误，演练终止！转入复盘评估程序，完毕！”</w:t>
            </w:r>
          </w:p>
        </w:tc>
        <w:tc>
          <w:tcPr>
            <w:tcW w:type="dxa" w:w="1728"/>
            <w:shd w:fill="FFFFFF"/>
            <w:tcMar>
              <w:top w:w="80" w:type="dxa"/>
              <w:bottom w:w="80" w:type="dxa"/>
              <w:left w:w="80" w:type="dxa"/>
              <w:right w:w="80" w:type="dxa"/>
            </w:tcMar>
            <w:vAlign w:val="center"/>
          </w:tcPr>
          <w:p>
            <w:r>
              <w:rPr>
                <w:rFonts w:ascii="仿宋_GB2312" w:hAnsi="仿宋_GB2312"/>
                <w:sz w:val="18"/>
              </w:rPr>
              <w:t>严禁过早脱卸空呼防毒面具；清点防坠落绳索磨损状态。</w:t>
            </w:r>
          </w:p>
        </w:tc>
      </w:tr>
    </w:tbl>
    <w:p>
      <w:pPr>
        <w:pStyle w:val="Heading1"/>
      </w:pPr>
      <w:r>
        <w:rPr>
          <w:rFonts w:ascii="黑体" w:hAnsi="黑体" w:eastAsia="黑体"/>
          <w:color w:val="1E293B"/>
          <w:sz w:val="30"/>
        </w:rPr>
        <w:t>第三章 五维考评打分表与预案闭环整改清单 (AQ/T 9007)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72"/>
        <w:gridCol w:w="1872"/>
        <w:gridCol w:w="1872"/>
        <w:gridCol w:w="1872"/>
        <w:gridCol w:w="1872"/>
      </w:tblGrid>
      <w:tr>
        <w:tc>
          <w:tcPr>
            <w:tcW w:type="dxa" w:w="1728"/>
            <w:shd w:fill="1E293B"/>
            <w:tcMar>
              <w:top w:w="90" w:type="dxa"/>
              <w:bottom w:w="90" w:type="dxa"/>
              <w:left w:w="80" w:type="dxa"/>
              <w:right w:w="80" w:type="dxa"/>
            </w:tcMar>
          </w:tcPr>
          <w:p>
            <w:pPr>
              <w:jc w:val="center"/>
            </w:pPr>
            <w:r>
              <w:rPr>
                <w:rFonts w:ascii="黑体" w:hAnsi="黑体"/>
                <w:color w:val="F1F5F9"/>
                <w:sz w:val="19"/>
              </w:rPr>
              <w:t>评估维度</w:t>
            </w:r>
          </w:p>
        </w:tc>
        <w:tc>
          <w:tcPr>
            <w:tcW w:type="dxa" w:w="864"/>
            <w:shd w:fill="1E293B"/>
            <w:tcMar>
              <w:top w:w="90" w:type="dxa"/>
              <w:bottom w:w="90" w:type="dxa"/>
              <w:left w:w="80" w:type="dxa"/>
              <w:right w:w="80" w:type="dxa"/>
            </w:tcMar>
          </w:tcPr>
          <w:p>
            <w:pPr>
              <w:jc w:val="center"/>
            </w:pPr>
            <w:r>
              <w:rPr>
                <w:rFonts w:ascii="黑体" w:hAnsi="黑体"/>
                <w:color w:val="F1F5F9"/>
                <w:sz w:val="19"/>
              </w:rPr>
              <w:t>权重</w:t>
            </w:r>
          </w:p>
        </w:tc>
        <w:tc>
          <w:tcPr>
            <w:tcW w:type="dxa" w:w="3312"/>
            <w:shd w:fill="1E293B"/>
            <w:tcMar>
              <w:top w:w="90" w:type="dxa"/>
              <w:bottom w:w="90" w:type="dxa"/>
              <w:left w:w="80" w:type="dxa"/>
              <w:right w:w="80" w:type="dxa"/>
            </w:tcMar>
          </w:tcPr>
          <w:p>
            <w:pPr>
              <w:jc w:val="center"/>
            </w:pPr>
            <w:r>
              <w:rPr>
                <w:rFonts w:ascii="黑体" w:hAnsi="黑体"/>
                <w:color w:val="F1F5F9"/>
                <w:sz w:val="19"/>
              </w:rPr>
              <w:t>扣分触发硬指标 (一票否决规则)</w:t>
            </w:r>
          </w:p>
        </w:tc>
        <w:tc>
          <w:tcPr>
            <w:tcW w:type="dxa" w:w="1296"/>
            <w:shd w:fill="1E293B"/>
            <w:tcMar>
              <w:top w:w="90" w:type="dxa"/>
              <w:bottom w:w="90" w:type="dxa"/>
              <w:left w:w="80" w:type="dxa"/>
              <w:right w:w="80" w:type="dxa"/>
            </w:tcMar>
          </w:tcPr>
          <w:p>
            <w:pPr>
              <w:jc w:val="center"/>
            </w:pPr>
            <w:r>
              <w:rPr>
                <w:rFonts w:ascii="黑体" w:hAnsi="黑体"/>
                <w:color w:val="F1F5F9"/>
                <w:sz w:val="19"/>
              </w:rPr>
              <w:t>扣分幅度</w:t>
            </w:r>
          </w:p>
        </w:tc>
        <w:tc>
          <w:tcPr>
            <w:tcW w:type="dxa" w:w="3168"/>
            <w:shd w:fill="1E293B"/>
            <w:tcMar>
              <w:top w:w="90" w:type="dxa"/>
              <w:bottom w:w="90" w:type="dxa"/>
              <w:left w:w="80" w:type="dxa"/>
              <w:right w:w="80" w:type="dxa"/>
            </w:tcMar>
          </w:tcPr>
          <w:p>
            <w:pPr>
              <w:jc w:val="center"/>
            </w:pPr>
            <w:r>
              <w:rPr>
                <w:rFonts w:ascii="黑体" w:hAnsi="黑体"/>
                <w:color w:val="F1F5F9"/>
                <w:sz w:val="19"/>
              </w:rPr>
              <w:t>预案整改闭环指令</w:t>
            </w:r>
          </w:p>
        </w:tc>
      </w:tr>
      <w:tr>
        <w:tc>
          <w:tcPr>
            <w:tcW w:type="dxa" w:w="1728"/>
            <w:shd w:fill="F8FAFC"/>
            <w:tcMar>
              <w:top w:w="80" w:type="dxa"/>
              <w:bottom w:w="80" w:type="dxa"/>
              <w:left w:w="80" w:type="dxa"/>
              <w:right w:w="80" w:type="dxa"/>
            </w:tcMar>
            <w:vAlign w:val="center"/>
          </w:tcPr>
          <w:p>
            <w:r>
              <w:rPr>
                <w:rFonts w:ascii="仿宋_GB2312" w:hAnsi="仿宋_GB2312"/>
                <w:sz w:val="18"/>
              </w:rPr>
              <w:t>指挥决策与响应时效</w:t>
            </w:r>
          </w:p>
        </w:tc>
        <w:tc>
          <w:tcPr>
            <w:tcW w:type="dxa" w:w="864"/>
            <w:shd w:fill="F8FAFC"/>
            <w:tcMar>
              <w:top w:w="80" w:type="dxa"/>
              <w:bottom w:w="80" w:type="dxa"/>
              <w:left w:w="80" w:type="dxa"/>
              <w:right w:w="80" w:type="dxa"/>
            </w:tcMar>
            <w:vAlign w:val="center"/>
          </w:tcPr>
          <w:p>
            <w:r>
              <w:rPr>
                <w:rFonts w:ascii="仿宋_GB2312" w:hAnsi="仿宋_GB2312"/>
                <w:sz w:val="18"/>
              </w:rPr>
              <w:t>20%</w:t>
            </w:r>
          </w:p>
        </w:tc>
        <w:tc>
          <w:tcPr>
            <w:tcW w:type="dxa" w:w="3312"/>
            <w:shd w:fill="F8FAFC"/>
            <w:tcMar>
              <w:top w:w="80" w:type="dxa"/>
              <w:bottom w:w="80" w:type="dxa"/>
              <w:left w:w="80" w:type="dxa"/>
              <w:right w:w="80" w:type="dxa"/>
            </w:tcMar>
            <w:vAlign w:val="center"/>
          </w:tcPr>
          <w:p>
            <w:r>
              <w:rPr>
                <w:rFonts w:ascii="仿宋_GB2312" w:hAnsi="仿宋_GB2312"/>
                <w:sz w:val="18"/>
              </w:rPr>
              <w:t>1. 响应启动超时超基准值15%以上；2. 指挥官跨级指挥造成现场任务严重冲突</w:t>
            </w:r>
          </w:p>
        </w:tc>
        <w:tc>
          <w:tcPr>
            <w:tcW w:type="dxa" w:w="1296"/>
            <w:shd w:fill="F8FAFC"/>
            <w:tcMar>
              <w:top w:w="80" w:type="dxa"/>
              <w:bottom w:w="80" w:type="dxa"/>
              <w:left w:w="80" w:type="dxa"/>
              <w:right w:w="80" w:type="dxa"/>
            </w:tcMar>
            <w:vAlign w:val="center"/>
          </w:tcPr>
          <w:p>
            <w:r>
              <w:rPr>
                <w:rFonts w:ascii="仿宋_GB2312" w:hAnsi="仿宋_GB2312"/>
                <w:sz w:val="18"/>
              </w:rPr>
              <w:t>扣5~10分</w:t>
            </w:r>
          </w:p>
        </w:tc>
        <w:tc>
          <w:tcPr>
            <w:tcW w:type="dxa" w:w="3168"/>
            <w:shd w:fill="F8FAFC"/>
            <w:tcMar>
              <w:top w:w="80" w:type="dxa"/>
              <w:bottom w:w="80" w:type="dxa"/>
              <w:left w:w="80" w:type="dxa"/>
              <w:right w:w="80" w:type="dxa"/>
            </w:tcMar>
            <w:vAlign w:val="center"/>
          </w:tcPr>
          <w:p>
            <w:r>
              <w:rPr>
                <w:rFonts w:ascii="仿宋_GB2312" w:hAnsi="仿宋_GB2312"/>
                <w:sz w:val="18"/>
              </w:rPr>
              <w:t>强制修订预案第一章“响应启动机制”，缩减审批流至3分钟内。</w:t>
            </w:r>
          </w:p>
        </w:tc>
      </w:tr>
      <w:tr>
        <w:tc>
          <w:tcPr>
            <w:tcW w:type="dxa" w:w="1728"/>
            <w:shd w:fill="F8FAFC"/>
            <w:tcMar>
              <w:top w:w="80" w:type="dxa"/>
              <w:bottom w:w="80" w:type="dxa"/>
              <w:left w:w="80" w:type="dxa"/>
              <w:right w:w="80" w:type="dxa"/>
            </w:tcMar>
            <w:vAlign w:val="center"/>
          </w:tcPr>
          <w:p>
            <w:r>
              <w:rPr>
                <w:rFonts w:ascii="仿宋_GB2312" w:hAnsi="仿宋_GB2312"/>
                <w:sz w:val="18"/>
              </w:rPr>
              <w:t>航空与重型装备操作</w:t>
            </w:r>
          </w:p>
        </w:tc>
        <w:tc>
          <w:tcPr>
            <w:tcW w:type="dxa" w:w="864"/>
            <w:shd w:fill="F8FAFC"/>
            <w:tcMar>
              <w:top w:w="80" w:type="dxa"/>
              <w:bottom w:w="80" w:type="dxa"/>
              <w:left w:w="80" w:type="dxa"/>
              <w:right w:w="80" w:type="dxa"/>
            </w:tcMar>
            <w:vAlign w:val="center"/>
          </w:tcPr>
          <w:p>
            <w:r>
              <w:rPr>
                <w:rFonts w:ascii="仿宋_GB2312" w:hAnsi="仿宋_GB2312"/>
                <w:sz w:val="18"/>
              </w:rPr>
              <w:t>25%</w:t>
            </w:r>
          </w:p>
        </w:tc>
        <w:tc>
          <w:tcPr>
            <w:tcW w:type="dxa" w:w="3312"/>
            <w:shd w:fill="F8FAFC"/>
            <w:tcMar>
              <w:top w:w="80" w:type="dxa"/>
              <w:bottom w:w="80" w:type="dxa"/>
              <w:left w:w="80" w:type="dxa"/>
              <w:right w:w="80" w:type="dxa"/>
            </w:tcMar>
            <w:vAlign w:val="center"/>
          </w:tcPr>
          <w:p>
            <w:r>
              <w:rPr>
                <w:rFonts w:ascii="仿宋_GB2312" w:hAnsi="仿宋_GB2312"/>
                <w:sz w:val="18"/>
              </w:rPr>
              <w:t>1. 直升机悬停未达稳定即释放吊篮；2. 投水作业落区半径100米内未彻底清场</w:t>
            </w:r>
          </w:p>
        </w:tc>
        <w:tc>
          <w:tcPr>
            <w:tcW w:type="dxa" w:w="1296"/>
            <w:shd w:fill="F8FAFC"/>
            <w:tcMar>
              <w:top w:w="80" w:type="dxa"/>
              <w:bottom w:w="80" w:type="dxa"/>
              <w:left w:w="80" w:type="dxa"/>
              <w:right w:w="80" w:type="dxa"/>
            </w:tcMar>
            <w:vAlign w:val="center"/>
          </w:tcPr>
          <w:p>
            <w:r>
              <w:rPr>
                <w:rFonts w:ascii="仿宋_GB2312" w:hAnsi="仿宋_GB2312"/>
                <w:sz w:val="18"/>
              </w:rPr>
              <w:t>违章扣15分</w:t>
            </w:r>
          </w:p>
        </w:tc>
        <w:tc>
          <w:tcPr>
            <w:tcW w:type="dxa" w:w="3168"/>
            <w:shd w:fill="F8FAFC"/>
            <w:tcMar>
              <w:top w:w="80" w:type="dxa"/>
              <w:bottom w:w="80" w:type="dxa"/>
              <w:left w:w="80" w:type="dxa"/>
              <w:right w:w="80" w:type="dxa"/>
            </w:tcMar>
            <w:vAlign w:val="center"/>
          </w:tcPr>
          <w:p>
            <w:r>
              <w:rPr>
                <w:rFonts w:ascii="仿宋_GB2312" w:hAnsi="仿宋_GB2312"/>
                <w:sz w:val="18"/>
              </w:rPr>
              <w:t>下达停飞复训令，将特种吊具检定规程纳入基地必训考核台账。</w:t>
            </w:r>
          </w:p>
        </w:tc>
      </w:tr>
      <w:tr>
        <w:tc>
          <w:tcPr>
            <w:tcW w:type="dxa" w:w="1728"/>
            <w:shd w:fill="F8FAFC"/>
            <w:tcMar>
              <w:top w:w="80" w:type="dxa"/>
              <w:bottom w:w="80" w:type="dxa"/>
              <w:left w:w="80" w:type="dxa"/>
              <w:right w:w="80" w:type="dxa"/>
            </w:tcMar>
            <w:vAlign w:val="center"/>
          </w:tcPr>
          <w:p>
            <w:r>
              <w:rPr>
                <w:rFonts w:ascii="仿宋_GB2312" w:hAnsi="仿宋_GB2312"/>
                <w:sz w:val="18"/>
              </w:rPr>
              <w:t>突发盲演临机处置</w:t>
            </w:r>
          </w:p>
        </w:tc>
        <w:tc>
          <w:tcPr>
            <w:tcW w:type="dxa" w:w="864"/>
            <w:shd w:fill="F8FAFC"/>
            <w:tcMar>
              <w:top w:w="80" w:type="dxa"/>
              <w:bottom w:w="80" w:type="dxa"/>
              <w:left w:w="80" w:type="dxa"/>
              <w:right w:w="80" w:type="dxa"/>
            </w:tcMar>
            <w:vAlign w:val="center"/>
          </w:tcPr>
          <w:p>
            <w:r>
              <w:rPr>
                <w:rFonts w:ascii="仿宋_GB2312" w:hAnsi="仿宋_GB2312"/>
                <w:sz w:val="18"/>
              </w:rPr>
              <w:t>20%</w:t>
            </w:r>
          </w:p>
        </w:tc>
        <w:tc>
          <w:tcPr>
            <w:tcW w:type="dxa" w:w="3312"/>
            <w:shd w:fill="F8FAFC"/>
            <w:tcMar>
              <w:top w:w="80" w:type="dxa"/>
              <w:bottom w:w="80" w:type="dxa"/>
              <w:left w:w="80" w:type="dxa"/>
              <w:right w:w="80" w:type="dxa"/>
            </w:tcMar>
            <w:vAlign w:val="center"/>
          </w:tcPr>
          <w:p>
            <w:r>
              <w:rPr>
                <w:rFonts w:ascii="仿宋_GB2312" w:hAnsi="仿宋_GB2312"/>
                <w:sz w:val="18"/>
              </w:rPr>
              <w:t>面对突发意外超过5分钟未做战术调整，或蛮干造成模拟次生伤亡</w:t>
            </w:r>
          </w:p>
        </w:tc>
        <w:tc>
          <w:tcPr>
            <w:tcW w:type="dxa" w:w="1296"/>
            <w:shd w:fill="F8FAFC"/>
            <w:tcMar>
              <w:top w:w="80" w:type="dxa"/>
              <w:bottom w:w="80" w:type="dxa"/>
              <w:left w:w="80" w:type="dxa"/>
              <w:right w:w="80" w:type="dxa"/>
            </w:tcMar>
            <w:vAlign w:val="center"/>
          </w:tcPr>
          <w:p>
            <w:r>
              <w:rPr>
                <w:rFonts w:ascii="仿宋_GB2312" w:hAnsi="仿宋_GB2312"/>
                <w:sz w:val="18"/>
              </w:rPr>
              <w:t>次生伤亡归零</w:t>
            </w:r>
          </w:p>
        </w:tc>
        <w:tc>
          <w:tcPr>
            <w:tcW w:type="dxa" w:w="3168"/>
            <w:shd w:fill="F8FAFC"/>
            <w:tcMar>
              <w:top w:w="80" w:type="dxa"/>
              <w:bottom w:w="80" w:type="dxa"/>
              <w:left w:w="80" w:type="dxa"/>
              <w:right w:w="80" w:type="dxa"/>
            </w:tcMar>
            <w:vAlign w:val="center"/>
          </w:tcPr>
          <w:p>
            <w:r>
              <w:rPr>
                <w:rFonts w:ascii="仿宋_GB2312" w:hAnsi="仿宋_GB2312"/>
                <w:sz w:val="18"/>
              </w:rPr>
              <w:t>将该盲演意外科目强制固化进基地每季度必须复训的无脚本必考库。</w:t>
            </w:r>
          </w:p>
        </w:tc>
      </w:tr>
      <w:tr>
        <w:tc>
          <w:tcPr>
            <w:tcW w:type="dxa" w:w="1728"/>
            <w:shd w:fill="F8FAFC"/>
            <w:tcMar>
              <w:top w:w="80" w:type="dxa"/>
              <w:bottom w:w="80" w:type="dxa"/>
              <w:left w:w="80" w:type="dxa"/>
              <w:right w:w="80" w:type="dxa"/>
            </w:tcMar>
            <w:vAlign w:val="center"/>
          </w:tcPr>
          <w:p>
            <w:r>
              <w:rPr>
                <w:rFonts w:ascii="仿宋_GB2312" w:hAnsi="仿宋_GB2312"/>
                <w:sz w:val="18"/>
              </w:rPr>
              <w:t>通信保障与空地协同</w:t>
            </w:r>
          </w:p>
        </w:tc>
        <w:tc>
          <w:tcPr>
            <w:tcW w:type="dxa" w:w="864"/>
            <w:shd w:fill="F8FAFC"/>
            <w:tcMar>
              <w:top w:w="80" w:type="dxa"/>
              <w:bottom w:w="80" w:type="dxa"/>
              <w:left w:w="80" w:type="dxa"/>
              <w:right w:w="80" w:type="dxa"/>
            </w:tcMar>
            <w:vAlign w:val="center"/>
          </w:tcPr>
          <w:p>
            <w:r>
              <w:rPr>
                <w:rFonts w:ascii="仿宋_GB2312" w:hAnsi="仿宋_GB2312"/>
                <w:sz w:val="18"/>
              </w:rPr>
              <w:t>20%</w:t>
            </w:r>
          </w:p>
        </w:tc>
        <w:tc>
          <w:tcPr>
            <w:tcW w:type="dxa" w:w="3312"/>
            <w:shd w:fill="F8FAFC"/>
            <w:tcMar>
              <w:top w:w="80" w:type="dxa"/>
              <w:bottom w:w="80" w:type="dxa"/>
              <w:left w:w="80" w:type="dxa"/>
              <w:right w:w="80" w:type="dxa"/>
            </w:tcMar>
            <w:vAlign w:val="center"/>
          </w:tcPr>
          <w:p>
            <w:r>
              <w:rPr>
                <w:rFonts w:ascii="仿宋_GB2312" w:hAnsi="仿宋_GB2312"/>
                <w:sz w:val="18"/>
              </w:rPr>
              <w:t>1. 空地通话未使用标准呼叫与复诵规程；2. 公网中断后备用自组网切换超3分钟</w:t>
            </w:r>
          </w:p>
        </w:tc>
        <w:tc>
          <w:tcPr>
            <w:tcW w:type="dxa" w:w="1296"/>
            <w:shd w:fill="F8FAFC"/>
            <w:tcMar>
              <w:top w:w="80" w:type="dxa"/>
              <w:bottom w:w="80" w:type="dxa"/>
              <w:left w:w="80" w:type="dxa"/>
              <w:right w:w="80" w:type="dxa"/>
            </w:tcMar>
            <w:vAlign w:val="center"/>
          </w:tcPr>
          <w:p>
            <w:r>
              <w:rPr>
                <w:rFonts w:ascii="仿宋_GB2312" w:hAnsi="仿宋_GB2312"/>
                <w:sz w:val="18"/>
              </w:rPr>
              <w:t>扣4~8分</w:t>
            </w:r>
          </w:p>
        </w:tc>
        <w:tc>
          <w:tcPr>
            <w:tcW w:type="dxa" w:w="3168"/>
            <w:shd w:fill="F8FAFC"/>
            <w:tcMar>
              <w:top w:w="80" w:type="dxa"/>
              <w:bottom w:w="80" w:type="dxa"/>
              <w:left w:w="80" w:type="dxa"/>
              <w:right w:w="80" w:type="dxa"/>
            </w:tcMar>
            <w:vAlign w:val="center"/>
          </w:tcPr>
          <w:p>
            <w:r>
              <w:rPr>
                <w:rFonts w:ascii="仿宋_GB2312" w:hAnsi="仿宋_GB2312"/>
                <w:sz w:val="18"/>
              </w:rPr>
              <w:t>印发《基地对讲通话速查卡》，全员通过无线电盲操通话认证。</w:t>
            </w:r>
          </w:p>
        </w:tc>
      </w:tr>
      <w:tr>
        <w:tc>
          <w:tcPr>
            <w:tcW w:type="dxa" w:w="1728"/>
            <w:shd w:fill="F8FAFC"/>
            <w:tcMar>
              <w:top w:w="80" w:type="dxa"/>
              <w:bottom w:w="80" w:type="dxa"/>
              <w:left w:w="80" w:type="dxa"/>
              <w:right w:w="80" w:type="dxa"/>
            </w:tcMar>
            <w:vAlign w:val="center"/>
          </w:tcPr>
          <w:p>
            <w:r>
              <w:rPr>
                <w:rFonts w:ascii="仿宋_GB2312" w:hAnsi="仿宋_GB2312"/>
                <w:sz w:val="18"/>
              </w:rPr>
              <w:t>安全防护与清点移交</w:t>
            </w:r>
          </w:p>
        </w:tc>
        <w:tc>
          <w:tcPr>
            <w:tcW w:type="dxa" w:w="864"/>
            <w:shd w:fill="F8FAFC"/>
            <w:tcMar>
              <w:top w:w="80" w:type="dxa"/>
              <w:bottom w:w="80" w:type="dxa"/>
              <w:left w:w="80" w:type="dxa"/>
              <w:right w:w="80" w:type="dxa"/>
            </w:tcMar>
            <w:vAlign w:val="center"/>
          </w:tcPr>
          <w:p>
            <w:r>
              <w:rPr>
                <w:rFonts w:ascii="仿宋_GB2312" w:hAnsi="仿宋_GB2312"/>
                <w:sz w:val="18"/>
              </w:rPr>
              <w:t>15%</w:t>
            </w:r>
          </w:p>
        </w:tc>
        <w:tc>
          <w:tcPr>
            <w:tcW w:type="dxa" w:w="3312"/>
            <w:shd w:fill="F8FAFC"/>
            <w:tcMar>
              <w:top w:w="80" w:type="dxa"/>
              <w:bottom w:w="80" w:type="dxa"/>
              <w:left w:w="80" w:type="dxa"/>
              <w:right w:w="80" w:type="dxa"/>
            </w:tcMar>
            <w:vAlign w:val="center"/>
          </w:tcPr>
          <w:p>
            <w:r>
              <w:rPr>
                <w:rFonts w:ascii="仿宋_GB2312" w:hAnsi="仿宋_GB2312"/>
                <w:sz w:val="18"/>
              </w:rPr>
              <w:t>1. 作业人员防护装备佩戴不符合规程；2. 现场未完成装备点验与防爆隔离</w:t>
            </w:r>
          </w:p>
        </w:tc>
        <w:tc>
          <w:tcPr>
            <w:tcW w:type="dxa" w:w="1296"/>
            <w:shd w:fill="F8FAFC"/>
            <w:tcMar>
              <w:top w:w="80" w:type="dxa"/>
              <w:bottom w:w="80" w:type="dxa"/>
              <w:left w:w="80" w:type="dxa"/>
              <w:right w:w="80" w:type="dxa"/>
            </w:tcMar>
            <w:vAlign w:val="center"/>
          </w:tcPr>
          <w:p>
            <w:r>
              <w:rPr>
                <w:rFonts w:ascii="仿宋_GB2312" w:hAnsi="仿宋_GB2312"/>
                <w:sz w:val="18"/>
              </w:rPr>
              <w:t>扣5~10分</w:t>
            </w:r>
          </w:p>
        </w:tc>
        <w:tc>
          <w:tcPr>
            <w:tcW w:type="dxa" w:w="3168"/>
            <w:shd w:fill="F8FAFC"/>
            <w:tcMar>
              <w:top w:w="80" w:type="dxa"/>
              <w:bottom w:w="80" w:type="dxa"/>
              <w:left w:w="80" w:type="dxa"/>
              <w:right w:w="80" w:type="dxa"/>
            </w:tcMar>
            <w:vAlign w:val="center"/>
          </w:tcPr>
          <w:p>
            <w:r>
              <w:rPr>
                <w:rFonts w:ascii="仿宋_GB2312" w:hAnsi="仿宋_GB2312"/>
                <w:sz w:val="18"/>
              </w:rPr>
              <w:t>安全监察员连带通报批评，安全警戒半径强制扩大20%写入新预案。</w:t>
            </w:r>
          </w:p>
        </w:tc>
      </w:tr>
    </w:tbl>
    <w:sectPr w:rsidR="00FC693F" w:rsidRPr="0006063C" w:rsidSect="00034616">
      <w:pgSz w:w="12240" w:h="15840"/>
      <w:pgMar w:top="1296" w:right="1440" w:bottom="129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